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2"/>
        <w:ind w:right="41"/>
        <w:jc w:val="center"/>
        <w:spacing w:before="66" w:after="0" w:line="275" w:lineRule="exact"/>
      </w:pPr>
      <w:r>
        <w:rPr>
          <w:spacing w:val="-2"/>
        </w:rPr>
        <w:t xml:space="preserve">ВЫПИСКА </w:t>
      </w:r>
      <w:r/>
    </w:p>
    <w:p>
      <w:pPr>
        <w:pStyle w:val="621"/>
        <w:ind w:left="2365" w:right="2389" w:hanging="2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из Протокола №2</w:t>
      </w:r>
      <w:r>
        <w:rPr>
          <w:b/>
          <w:bCs/>
          <w:spacing w:val="4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отчетной конференции</w:t>
      </w:r>
      <w:r>
        <w:rPr>
          <w:b/>
          <w:bCs/>
          <w:sz w:val="24"/>
          <w:szCs w:val="24"/>
        </w:rPr>
      </w:r>
    </w:p>
    <w:p>
      <w:pPr>
        <w:pStyle w:val="621"/>
        <w:ind w:left="2365" w:right="2389" w:hanging="2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территориального общественного</w:t>
      </w:r>
      <w:r>
        <w:rPr>
          <w:b/>
          <w:bCs/>
          <w:spacing w:val="4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самоуправления </w:t>
      </w:r>
      <w:r>
        <w:rPr>
          <w:b/>
          <w:bCs/>
          <w:sz w:val="24"/>
          <w:szCs w:val="24"/>
        </w:rPr>
        <w:t xml:space="preserve">ТОС «Перспектива» города Нижнего Новгорода</w:t>
      </w:r>
      <w:r>
        <w:rPr>
          <w:b/>
          <w:bCs/>
          <w:sz w:val="24"/>
          <w:szCs w:val="24"/>
        </w:rPr>
      </w:r>
    </w:p>
    <w:p>
      <w:pPr>
        <w:pStyle w:val="627"/>
        <w:spacing w:before="251" w:after="0" w:line="275" w:lineRule="exact"/>
        <w:rPr>
          <w:b/>
          <w:bCs/>
        </w:rPr>
      </w:pPr>
      <w:r>
        <w:rPr>
          <w:b/>
          <w:bCs/>
        </w:rPr>
        <w:t xml:space="preserve">Дата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 xml:space="preserve">проведения:</w:t>
      </w:r>
      <w:r>
        <w:rPr>
          <w:b/>
          <w:bCs/>
          <w:spacing w:val="-11"/>
        </w:rPr>
        <w:t xml:space="preserve"> </w:t>
      </w:r>
      <w:r>
        <w:rPr>
          <w:b/>
          <w:bCs/>
          <w:spacing w:val="-2"/>
        </w:rPr>
        <w:t xml:space="preserve">20.02.2025</w:t>
      </w:r>
      <w:r>
        <w:rPr>
          <w:b/>
          <w:bCs/>
        </w:rPr>
      </w:r>
    </w:p>
    <w:p>
      <w:pPr>
        <w:pStyle w:val="622"/>
        <w:spacing w:line="275" w:lineRule="exact"/>
      </w:pPr>
      <w:r>
        <w:t xml:space="preserve">Время</w:t>
      </w:r>
      <w:r>
        <w:rPr>
          <w:spacing w:val="-14"/>
        </w:rPr>
        <w:t xml:space="preserve"> </w:t>
      </w:r>
      <w:r>
        <w:t xml:space="preserve">проведения:</w:t>
      </w:r>
      <w:r>
        <w:rPr>
          <w:spacing w:val="9"/>
        </w:rPr>
        <w:t xml:space="preserve"> </w:t>
      </w:r>
      <w:r>
        <w:t xml:space="preserve">15</w:t>
      </w:r>
      <w:r>
        <w:rPr>
          <w:spacing w:val="-12"/>
        </w:rPr>
        <w:t xml:space="preserve"> </w:t>
      </w:r>
      <w:r>
        <w:t xml:space="preserve">часов</w:t>
      </w:r>
      <w:r>
        <w:rPr>
          <w:spacing w:val="-5"/>
        </w:rPr>
        <w:t xml:space="preserve"> </w:t>
      </w:r>
      <w:r>
        <w:t xml:space="preserve">00</w:t>
      </w:r>
      <w:r>
        <w:rPr>
          <w:spacing w:val="-15"/>
        </w:rPr>
        <w:t xml:space="preserve"> </w:t>
      </w:r>
      <w:r>
        <w:rPr>
          <w:spacing w:val="-2"/>
        </w:rPr>
        <w:t xml:space="preserve">минут</w:t>
      </w:r>
      <w:r/>
    </w:p>
    <w:p>
      <w:pPr>
        <w:pStyle w:val="62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проведения:</w:t>
      </w:r>
      <w:r>
        <w:rPr>
          <w:b/>
          <w:bCs/>
          <w:spacing w:val="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пр-т Ленина, д.79</w:t>
      </w:r>
      <w:r>
        <w:rPr>
          <w:b/>
          <w:bCs/>
          <w:sz w:val="24"/>
          <w:szCs w:val="24"/>
        </w:rPr>
      </w:r>
    </w:p>
    <w:p>
      <w:pPr>
        <w:pStyle w:val="621"/>
        <w:jc w:val="right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21"/>
        <w:rPr>
          <w:sz w:val="24"/>
          <w:szCs w:val="24"/>
        </w:rPr>
      </w:pPr>
      <w:r>
        <w:rPr>
          <w:sz w:val="24"/>
          <w:szCs w:val="24"/>
        </w:rPr>
        <w:t xml:space="preserve">Общее число жителей, </w:t>
      </w:r>
      <w:r>
        <w:rPr>
          <w:sz w:val="24"/>
          <w:szCs w:val="24"/>
        </w:rPr>
        <w:t xml:space="preserve">имеющих право принимать решения на конференции-</w:t>
      </w:r>
      <w:r>
        <w:rPr>
          <w:sz w:val="24"/>
          <w:szCs w:val="24"/>
        </w:rPr>
        <w:t xml:space="preserve"> 5127 человек.</w:t>
      </w:r>
      <w:r>
        <w:rPr>
          <w:sz w:val="24"/>
          <w:szCs w:val="24"/>
        </w:rPr>
      </w:r>
    </w:p>
    <w:p>
      <w:pPr>
        <w:pStyle w:val="62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избранных делегатов на конференцию -26 человека. </w:t>
      </w:r>
      <w:r>
        <w:rPr>
          <w:sz w:val="24"/>
          <w:szCs w:val="24"/>
        </w:rPr>
      </w:r>
    </w:p>
    <w:p>
      <w:pPr>
        <w:pStyle w:val="621"/>
        <w:ind w:left="0" w:right="397" w:firstLine="0"/>
        <w:jc w:val="both"/>
        <w:spacing w:before="0" w:after="0"/>
        <w:widowControl w:val="off"/>
        <w:rPr>
          <w:sz w:val="24"/>
          <w:szCs w:val="24"/>
        </w:rPr>
      </w:pPr>
      <w:r>
        <w:rPr>
          <w:sz w:val="24"/>
          <w:szCs w:val="24"/>
        </w:rPr>
        <w:t xml:space="preserve">Количество присутствующих делегатов -26 человек.</w:t>
      </w:r>
      <w:r>
        <w:rPr>
          <w:sz w:val="24"/>
          <w:szCs w:val="24"/>
        </w:rPr>
      </w:r>
    </w:p>
    <w:p>
      <w:pPr>
        <w:pStyle w:val="627"/>
        <w:spacing w:before="19" w:after="0"/>
      </w:pPr>
      <w:r/>
      <w:r/>
    </w:p>
    <w:p>
      <w:pPr>
        <w:pStyle w:val="622"/>
        <w:ind w:right="57"/>
        <w:jc w:val="center"/>
        <w:rPr>
          <w:spacing w:val="-2"/>
        </w:rPr>
      </w:pPr>
      <w:r>
        <w:rPr>
          <w:spacing w:val="-2"/>
        </w:rPr>
        <w:t xml:space="preserve">Повестка</w:t>
      </w:r>
      <w:r>
        <w:rPr>
          <w:spacing w:val="2"/>
        </w:rPr>
        <w:t xml:space="preserve"> </w:t>
      </w:r>
      <w:r>
        <w:rPr>
          <w:spacing w:val="-2"/>
        </w:rPr>
        <w:t xml:space="preserve">конференции:</w:t>
      </w:r>
      <w:r>
        <w:rPr>
          <w:spacing w:val="-2"/>
        </w:rPr>
      </w:r>
    </w:p>
    <w:p>
      <w:pPr>
        <w:pStyle w:val="622"/>
        <w:ind w:right="57"/>
        <w:jc w:val="both"/>
        <w:rPr>
          <w:spacing w:val="-2"/>
        </w:rPr>
      </w:pPr>
      <w:r>
        <w:rPr>
          <w:spacing w:val="-2"/>
        </w:rPr>
      </w:r>
      <w:r>
        <w:rPr>
          <w:spacing w:val="-2"/>
        </w:rPr>
      </w:r>
    </w:p>
    <w:p>
      <w:pPr>
        <w:pStyle w:val="631"/>
        <w:ind w:left="-57" w:right="0" w:firstLine="57"/>
        <w:jc w:val="both"/>
        <w:spacing w:before="0" w:after="0"/>
        <w:widowControl w:val="off"/>
      </w:pPr>
      <w:r>
        <w:rPr>
          <w:b/>
          <w:bCs/>
          <w:sz w:val="24"/>
          <w:szCs w:val="24"/>
        </w:rPr>
        <w:t xml:space="preserve">1. </w:t>
      </w:r>
      <w:r>
        <w:rPr>
          <w:b/>
          <w:bCs/>
          <w:sz w:val="24"/>
          <w:szCs w:val="24"/>
        </w:rPr>
        <w:t xml:space="preserve">Об утверждении отчета Совета общественного самоуправления TOC «Перспектива» города Нижнего Новгорода о работе за отчетный период с 20.02.2024 год по 20.02.2025 год.</w:t>
      </w:r>
      <w:r/>
    </w:p>
    <w:p>
      <w:pPr>
        <w:pStyle w:val="622"/>
        <w:ind w:left="0" w:right="0" w:firstLine="0"/>
        <w:jc w:val="both"/>
        <w:spacing w:before="0" w:after="0"/>
        <w:widowControl w:val="off"/>
        <w:rPr>
          <w:spacing w:val="-2"/>
        </w:rPr>
      </w:pPr>
      <w:r/>
      <w:r>
        <w:rPr>
          <w:spacing w:val="-2"/>
        </w:rPr>
      </w:r>
    </w:p>
    <w:p>
      <w:pPr>
        <w:pStyle w:val="622"/>
        <w:numPr>
          <w:ilvl w:val="0"/>
          <w:numId w:val="0"/>
        </w:numPr>
        <w:ind w:left="0" w:right="0" w:firstLine="0"/>
        <w:jc w:val="both"/>
        <w:spacing w:before="0" w:after="0"/>
        <w:widowControl w:val="off"/>
      </w:pPr>
      <w:r>
        <w:rPr>
          <w:spacing w:val="-2"/>
        </w:rPr>
        <w:t xml:space="preserve">Решили:</w:t>
      </w:r>
      <w:r/>
    </w:p>
    <w:p>
      <w:pPr>
        <w:pStyle w:val="627"/>
        <w:ind w:left="0" w:right="0" w:firstLine="0"/>
        <w:jc w:val="both"/>
        <w:spacing w:before="0" w:after="0"/>
        <w:widowControl w:val="off"/>
      </w:pPr>
      <w:r>
        <w:t xml:space="preserve">Отчет о работе</w:t>
      </w:r>
      <w:r>
        <w:rPr>
          <w:spacing w:val="20"/>
        </w:rPr>
        <w:t xml:space="preserve"> </w:t>
      </w:r>
      <w:r>
        <w:t xml:space="preserve">Совета общественного</w:t>
      </w:r>
      <w:r>
        <w:rPr>
          <w:spacing w:val="34"/>
        </w:rPr>
        <w:t xml:space="preserve"> </w:t>
      </w:r>
      <w:r>
        <w:t xml:space="preserve">самоуправления TOC «Перспектива» города Нижнего Новгорода </w:t>
      </w:r>
      <w:r>
        <w:rPr>
          <w:spacing w:val="-2"/>
        </w:rPr>
        <w:t xml:space="preserve">утвердить.</w:t>
      </w:r>
      <w:r/>
    </w:p>
    <w:p>
      <w:pPr>
        <w:pStyle w:val="622"/>
        <w:ind w:left="0" w:right="0" w:firstLine="0"/>
        <w:jc w:val="both"/>
        <w:spacing w:before="0" w:after="0"/>
        <w:widowControl w:val="off"/>
        <w:rPr>
          <w:spacing w:val="-2"/>
        </w:rPr>
      </w:pPr>
      <w:r/>
      <w:r>
        <w:rPr>
          <w:spacing w:val="-2"/>
        </w:rPr>
      </w:r>
    </w:p>
    <w:p>
      <w:pPr>
        <w:pStyle w:val="622"/>
        <w:numPr>
          <w:ilvl w:val="0"/>
          <w:numId w:val="0"/>
        </w:numPr>
        <w:ind w:left="0" w:right="0" w:firstLine="0"/>
        <w:jc w:val="both"/>
        <w:spacing w:before="0" w:after="0"/>
        <w:widowControl w:val="off"/>
      </w:pPr>
      <w:r>
        <w:rPr>
          <w:spacing w:val="-2"/>
        </w:rPr>
        <w:t xml:space="preserve">Голосовали:</w:t>
      </w:r>
      <w:r/>
    </w:p>
    <w:p>
      <w:pPr>
        <w:pStyle w:val="627"/>
        <w:ind w:left="0" w:right="0" w:firstLine="0"/>
        <w:jc w:val="both"/>
        <w:spacing w:before="0" w:after="0"/>
        <w:widowControl w:val="off"/>
      </w:pPr>
      <w:r>
        <w:t xml:space="preserve">«за»</w:t>
      </w:r>
      <w:r>
        <w:rPr>
          <w:spacing w:val="-5"/>
        </w:rPr>
        <w:t xml:space="preserve"> </w:t>
      </w:r>
      <w:r>
        <w:t xml:space="preserve">-</w:t>
      </w:r>
      <w:r>
        <w:rPr>
          <w:spacing w:val="-15"/>
        </w:rPr>
        <w:t xml:space="preserve"> 26</w:t>
      </w:r>
      <w:r>
        <w:t xml:space="preserve">,</w:t>
      </w:r>
      <w:r>
        <w:rPr>
          <w:spacing w:val="-3"/>
        </w:rPr>
        <w:t xml:space="preserve"> </w:t>
      </w:r>
      <w:r>
        <w:t xml:space="preserve">«против»</w:t>
      </w:r>
      <w:r>
        <w:rPr>
          <w:spacing w:val="16"/>
        </w:rPr>
        <w:t xml:space="preserve"> </w:t>
      </w:r>
      <w:r>
        <w:t xml:space="preserve">-</w:t>
      </w:r>
      <w:r>
        <w:rPr>
          <w:spacing w:val="-3"/>
        </w:rPr>
        <w:t xml:space="preserve"> </w:t>
      </w:r>
      <w:r>
        <w:t xml:space="preserve">0,</w:t>
      </w:r>
      <w:r>
        <w:rPr>
          <w:spacing w:val="4"/>
        </w:rPr>
        <w:t xml:space="preserve"> </w:t>
      </w:r>
      <w:r>
        <w:t xml:space="preserve">«воздержались»</w:t>
      </w:r>
      <w:r>
        <w:rPr>
          <w:spacing w:val="-8"/>
        </w:rPr>
        <w:t xml:space="preserve"> </w:t>
      </w:r>
      <w:r>
        <w:t xml:space="preserve">-</w:t>
      </w:r>
      <w:r>
        <w:rPr>
          <w:spacing w:val="-12"/>
        </w:rPr>
        <w:t xml:space="preserve"> </w:t>
      </w:r>
      <w:r>
        <w:rPr>
          <w:spacing w:val="-10"/>
        </w:rPr>
        <w:t xml:space="preserve">0</w:t>
      </w:r>
      <w:r/>
    </w:p>
    <w:p>
      <w:pPr>
        <w:pStyle w:val="627"/>
        <w:ind w:firstLine="567"/>
        <w:jc w:val="both"/>
      </w:pPr>
      <w:r/>
      <w:r/>
    </w:p>
    <w:p>
      <w:pPr>
        <w:pStyle w:val="631"/>
        <w:numPr>
          <w:ilvl w:val="0"/>
          <w:numId w:val="0"/>
        </w:numPr>
        <w:ind w:left="0" w:right="0" w:firstLine="0"/>
        <w:jc w:val="both"/>
        <w:spacing w:before="0" w:after="0"/>
        <w:widowControl w:val="off"/>
        <w:tabs>
          <w:tab w:val="clear" w:pos="720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</w:pPr>
      <w:r>
        <w:rPr>
          <w:b/>
          <w:sz w:val="24"/>
          <w:szCs w:val="24"/>
        </w:rPr>
        <w:t xml:space="preserve">2. </w:t>
      </w:r>
      <w:r>
        <w:rPr>
          <w:b/>
          <w:sz w:val="24"/>
          <w:szCs w:val="24"/>
        </w:rPr>
        <w:t xml:space="preserve">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отчета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2"/>
          <w:sz w:val="24"/>
          <w:szCs w:val="24"/>
        </w:rPr>
        <w:t xml:space="preserve">общественного</w:t>
      </w:r>
      <w:r>
        <w:rPr>
          <w:b/>
          <w:sz w:val="24"/>
          <w:szCs w:val="24"/>
        </w:rPr>
        <w:tab/>
      </w:r>
      <w:r>
        <w:rPr>
          <w:b/>
          <w:spacing w:val="-2"/>
          <w:sz w:val="24"/>
          <w:szCs w:val="24"/>
        </w:rPr>
        <w:t xml:space="preserve">самоуправления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pacing w:val="-4"/>
          <w:sz w:val="24"/>
          <w:szCs w:val="24"/>
        </w:rPr>
        <w:t xml:space="preserve">TOC «Перспектива» города Нижнего Новгорода</w:t>
      </w:r>
      <w:r/>
    </w:p>
    <w:p>
      <w:pPr>
        <w:pStyle w:val="627"/>
        <w:ind w:firstLine="567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21"/>
        <w:ind w:left="0" w:right="0" w:firstLine="0"/>
        <w:jc w:val="both"/>
        <w:spacing w:before="0" w:after="0"/>
        <w:widowControl w:val="off"/>
        <w:tabs>
          <w:tab w:val="clear" w:pos="720" w:leader="none"/>
          <w:tab w:val="left" w:pos="9781" w:leader="none"/>
        </w:tabs>
      </w:pPr>
      <w:r>
        <w:rPr>
          <w:b/>
          <w:spacing w:val="-2"/>
          <w:sz w:val="24"/>
          <w:szCs w:val="24"/>
        </w:rPr>
        <w:t xml:space="preserve">Решили:</w:t>
      </w:r>
      <w:r>
        <w:rPr>
          <w:b/>
          <w:sz w:val="24"/>
          <w:szCs w:val="24"/>
        </w:rPr>
        <w:tab/>
      </w:r>
      <w:r>
        <w:rPr>
          <w:spacing w:val="-10"/>
          <w:sz w:val="24"/>
          <w:szCs w:val="24"/>
        </w:rPr>
        <w:t xml:space="preserve">’</w:t>
      </w:r>
      <w:r/>
    </w:p>
    <w:p>
      <w:pPr>
        <w:pStyle w:val="627"/>
        <w:ind w:left="0" w:right="0" w:firstLine="0"/>
        <w:jc w:val="both"/>
        <w:spacing w:before="0" w:after="0"/>
        <w:widowControl w:val="off"/>
      </w:pPr>
      <w:r>
        <w:t xml:space="preserve">Отчет контрольно-ревизионной комиссии по проверке финансовой деятельности Совета общественного</w:t>
      </w:r>
      <w:r>
        <w:rPr>
          <w:spacing w:val="40"/>
        </w:rPr>
        <w:t xml:space="preserve"> </w:t>
      </w:r>
      <w:r>
        <w:t xml:space="preserve">самоуправления</w:t>
      </w:r>
      <w:r>
        <w:rPr>
          <w:spacing w:val="-7"/>
        </w:rPr>
        <w:t xml:space="preserve"> </w:t>
      </w:r>
      <w:r>
        <w:rPr>
          <w:color w:val="111111"/>
        </w:rPr>
        <w:t xml:space="preserve">TOC </w:t>
      </w:r>
      <w:bookmarkStart w:id="0" w:name="_GoBack"/>
      <w:r/>
      <w:bookmarkEnd w:id="0"/>
      <w:r>
        <w:rPr>
          <w:color w:val="111111"/>
        </w:rPr>
        <w:t xml:space="preserve">«Перспектива» города Нижнего Новгорода  утвердить.</w:t>
      </w:r>
      <w:r/>
    </w:p>
    <w:p>
      <w:pPr>
        <w:pStyle w:val="622"/>
        <w:ind w:left="0" w:right="0" w:firstLine="0"/>
        <w:jc w:val="both"/>
        <w:spacing w:before="0" w:after="0"/>
        <w:widowControl w:val="off"/>
        <w:rPr>
          <w:spacing w:val="-2"/>
        </w:rPr>
      </w:pPr>
      <w:r/>
      <w:r>
        <w:rPr>
          <w:spacing w:val="-2"/>
        </w:rPr>
      </w:r>
    </w:p>
    <w:p>
      <w:pPr>
        <w:pStyle w:val="622"/>
        <w:numPr>
          <w:ilvl w:val="0"/>
          <w:numId w:val="0"/>
        </w:numPr>
        <w:ind w:left="0" w:right="0" w:firstLine="0"/>
        <w:jc w:val="both"/>
        <w:spacing w:before="0" w:after="0"/>
        <w:widowControl w:val="off"/>
      </w:pPr>
      <w:r>
        <w:rPr>
          <w:spacing w:val="-2"/>
        </w:rPr>
        <w:t xml:space="preserve">Голосовали:</w:t>
      </w:r>
      <w:r/>
    </w:p>
    <w:p>
      <w:pPr>
        <w:pStyle w:val="627"/>
        <w:ind w:left="0" w:right="0" w:firstLine="0"/>
        <w:jc w:val="both"/>
        <w:spacing w:before="0" w:after="0"/>
        <w:widowControl w:val="off"/>
      </w:pPr>
      <w:r>
        <w:t xml:space="preserve">«за»</w:t>
      </w:r>
      <w:r>
        <w:rPr>
          <w:spacing w:val="-5"/>
        </w:rPr>
        <w:t xml:space="preserve"> </w:t>
      </w:r>
      <w:r>
        <w:t xml:space="preserve">-</w:t>
      </w:r>
      <w:r>
        <w:rPr>
          <w:spacing w:val="-15"/>
        </w:rPr>
        <w:t xml:space="preserve"> 26</w:t>
      </w:r>
      <w:r>
        <w:t xml:space="preserve">,</w:t>
      </w:r>
      <w:r>
        <w:rPr>
          <w:spacing w:val="-3"/>
        </w:rPr>
        <w:t xml:space="preserve"> </w:t>
      </w:r>
      <w:r>
        <w:t xml:space="preserve">«против»</w:t>
      </w:r>
      <w:r>
        <w:rPr>
          <w:spacing w:val="16"/>
        </w:rPr>
        <w:t xml:space="preserve"> </w:t>
      </w:r>
      <w:r>
        <w:t xml:space="preserve">-</w:t>
      </w:r>
      <w:r>
        <w:rPr>
          <w:spacing w:val="-3"/>
        </w:rPr>
        <w:t xml:space="preserve"> </w:t>
      </w:r>
      <w:r>
        <w:t xml:space="preserve">0,</w:t>
      </w:r>
      <w:r>
        <w:rPr>
          <w:spacing w:val="4"/>
        </w:rPr>
        <w:t xml:space="preserve"> </w:t>
      </w:r>
      <w:r>
        <w:t xml:space="preserve">«воздержались»</w:t>
      </w:r>
      <w:r>
        <w:rPr>
          <w:spacing w:val="-8"/>
        </w:rPr>
        <w:t xml:space="preserve"> </w:t>
      </w:r>
      <w:r>
        <w:t xml:space="preserve">-</w:t>
      </w:r>
      <w:r>
        <w:rPr>
          <w:spacing w:val="-12"/>
        </w:rPr>
        <w:t xml:space="preserve"> </w:t>
      </w:r>
      <w:r>
        <w:rPr>
          <w:spacing w:val="-10"/>
        </w:rPr>
        <w:t xml:space="preserve">0</w:t>
      </w:r>
      <w:r/>
    </w:p>
    <w:p>
      <w:pPr>
        <w:pStyle w:val="627"/>
        <w:ind w:left="0" w:right="0" w:firstLine="0"/>
        <w:jc w:val="both"/>
        <w:spacing w:before="0" w:after="0"/>
        <w:widowControl w:val="off"/>
      </w:pPr>
      <w:r/>
      <w:r/>
    </w:p>
    <w:p>
      <w:pPr>
        <w:pStyle w:val="627"/>
        <w:ind w:firstLine="567"/>
        <w:jc w:val="both"/>
        <w:spacing w:before="7" w:after="0"/>
      </w:pPr>
      <w:r/>
      <w:r/>
    </w:p>
    <w:p>
      <w:pPr>
        <w:pStyle w:val="627"/>
        <w:ind w:firstLine="567"/>
        <w:spacing w:before="7" w:after="0"/>
      </w:pPr>
      <w:r/>
      <w:r/>
    </w:p>
    <w:p>
      <w:pPr>
        <w:pStyle w:val="627"/>
        <w:ind w:right="94" w:firstLine="567"/>
        <w:jc w:val="center"/>
        <w:tabs>
          <w:tab w:val="clear" w:pos="720" w:leader="none"/>
          <w:tab w:val="left" w:pos="9160" w:leader="none"/>
        </w:tabs>
        <w:rPr>
          <w:spacing w:val="-4"/>
        </w:rPr>
      </w:pPr>
      <w:r>
        <w:rPr>
          <w:spacing w:val="-4"/>
        </w:rPr>
      </w:r>
      <w:r>
        <w:rPr>
          <w:spacing w:val="-4"/>
        </w:rPr>
      </w:r>
    </w:p>
    <w:p>
      <w:pPr>
        <w:pStyle w:val="627"/>
        <w:ind w:left="0" w:right="113" w:firstLine="0"/>
        <w:jc w:val="center"/>
        <w:spacing w:before="0" w:after="0"/>
        <w:widowControl w:val="off"/>
        <w:tabs>
          <w:tab w:val="clear" w:pos="720" w:leader="none"/>
          <w:tab w:val="left" w:pos="9160" w:leader="none"/>
        </w:tabs>
      </w:pPr>
      <w:r>
        <w:rPr>
          <w:spacing w:val="-4"/>
        </w:rPr>
        <w:t xml:space="preserve"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t xml:space="preserve">ФИО-1</w:t>
      </w:r>
      <w:r/>
    </w:p>
    <w:sectPr>
      <w:footnotePr/>
      <w:endnotePr/>
      <w:type w:val="nextPage"/>
      <w:pgSz w:w="11906" w:h="16838" w:orient="portrait"/>
      <w:pgMar w:top="380" w:right="751" w:bottom="280" w:left="1060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Droid Sans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numbering" w:styleId="12">
    <w:name w:val="No List"/>
    <w:uiPriority w:val="99"/>
    <w:semiHidden/>
    <w:unhideWhenUsed/>
  </w:style>
  <w:style w:type="character" w:styleId="14">
    <w:name w:val="Heading 1 Char"/>
    <w:basedOn w:val="623"/>
    <w:link w:val="622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1"/>
    <w:next w:val="62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3"/>
    <w:link w:val="34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3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3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3"/>
    <w:link w:val="44"/>
    <w:uiPriority w:val="99"/>
  </w:style>
  <w:style w:type="character" w:styleId="47">
    <w:name w:val="Caption Char"/>
    <w:basedOn w:val="623"/>
    <w:link w:val="629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3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3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  <w:pPr>
      <w:jc w:val="left"/>
      <w:spacing w:before="0" w:after="0"/>
      <w:widowControl w:val="off"/>
    </w:pPr>
    <w:rPr>
      <w:rFonts w:ascii="Times New Roman" w:hAnsi="Times New Roman" w:eastAsia="Times New Roman" w:cs="Times New Roman"/>
      <w:color w:val="auto"/>
      <w:sz w:val="22"/>
      <w:szCs w:val="22"/>
      <w:lang w:val="ru-RU" w:eastAsia="en-US" w:bidi="ar-SA"/>
    </w:rPr>
  </w:style>
  <w:style w:type="paragraph" w:styleId="622">
    <w:name w:val="Heading 1"/>
    <w:basedOn w:val="621"/>
    <w:link w:val="624"/>
    <w:uiPriority w:val="9"/>
    <w:qFormat/>
    <w:pPr>
      <w:outlineLvl w:val="0"/>
    </w:pPr>
    <w:rPr>
      <w:b/>
      <w:bCs/>
      <w:sz w:val="24"/>
      <w:szCs w:val="24"/>
    </w:rPr>
  </w:style>
  <w:style w:type="character" w:styleId="623" w:default="1">
    <w:name w:val="Default Paragraph Font"/>
    <w:uiPriority w:val="1"/>
    <w:semiHidden/>
    <w:unhideWhenUsed/>
    <w:qFormat/>
  </w:style>
  <w:style w:type="character" w:styleId="624" w:customStyle="1">
    <w:name w:val="Заголовок 1 Знак"/>
    <w:basedOn w:val="623"/>
    <w:uiPriority w:val="9"/>
    <w:qFormat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625" w:customStyle="1">
    <w:name w:val="Основной текст Знак"/>
    <w:basedOn w:val="623"/>
    <w:uiPriority w:val="1"/>
    <w:qFormat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626">
    <w:name w:val="Заголовок"/>
    <w:basedOn w:val="621"/>
    <w:next w:val="627"/>
    <w:qFormat/>
    <w:pPr>
      <w:keepNext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627">
    <w:name w:val="Body Text"/>
    <w:basedOn w:val="621"/>
    <w:link w:val="625"/>
    <w:uiPriority w:val="1"/>
    <w:qFormat/>
    <w:rPr>
      <w:sz w:val="24"/>
      <w:szCs w:val="24"/>
    </w:rPr>
  </w:style>
  <w:style w:type="paragraph" w:styleId="628">
    <w:name w:val="List"/>
    <w:basedOn w:val="627"/>
    <w:rPr>
      <w:rFonts w:cs="Droid Sans"/>
    </w:rPr>
  </w:style>
  <w:style w:type="paragraph" w:styleId="629">
    <w:name w:val="Caption"/>
    <w:basedOn w:val="621"/>
    <w:qFormat/>
    <w:pPr>
      <w:spacing w:before="120" w:after="120"/>
      <w:suppressLineNumbers/>
    </w:pPr>
    <w:rPr>
      <w:rFonts w:cs="Droid Sans"/>
      <w:i/>
      <w:iCs/>
      <w:sz w:val="24"/>
      <w:szCs w:val="24"/>
    </w:rPr>
  </w:style>
  <w:style w:type="paragraph" w:styleId="630">
    <w:name w:val="Указатель"/>
    <w:basedOn w:val="621"/>
    <w:qFormat/>
    <w:pPr>
      <w:suppressLineNumbers/>
    </w:pPr>
    <w:rPr>
      <w:rFonts w:cs="Droid Sans"/>
    </w:rPr>
  </w:style>
  <w:style w:type="paragraph" w:styleId="631">
    <w:name w:val="List Paragraph"/>
    <w:basedOn w:val="621"/>
    <w:uiPriority w:val="1"/>
    <w:qFormat/>
    <w:pPr>
      <w:ind w:left="875" w:hanging="415"/>
      <w:spacing w:before="271" w:after="0"/>
    </w:pPr>
  </w:style>
  <w:style w:type="paragraph" w:styleId="632" w:customStyle="1">
    <w:name w:val="Table Paragraph"/>
    <w:basedOn w:val="621"/>
    <w:uiPriority w:val="1"/>
    <w:qFormat/>
  </w:style>
  <w:style w:type="numbering" w:styleId="633" w:default="1">
    <w:name w:val="Без списка"/>
    <w:uiPriority w:val="99"/>
    <w:semiHidden/>
    <w:unhideWhenUsed/>
    <w:qFormat/>
  </w:style>
  <w:style w:type="table" w:styleId="634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635" w:customStyle="1">
    <w:name w:val="Table Normal"/>
    <w:uiPriority w:val="2"/>
    <w:semiHidden/>
    <w:unhideWhenUsed/>
    <w:qFormat/>
    <w:tblPr>
      <w:tblCellMar>
        <w:left w:w="0" w:type="dxa"/>
        <w:top w:w="0" w:type="dxa"/>
        <w:right w:w="0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dc:language>ru-RU</dc:language>
  <cp:lastModifiedBy>md.semenova</cp:lastModifiedBy>
  <cp:revision>11</cp:revision>
  <dcterms:created xsi:type="dcterms:W3CDTF">2025-02-04T13:43:00Z</dcterms:created>
  <dcterms:modified xsi:type="dcterms:W3CDTF">2025-03-04T07:38:13Z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